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0D6E46" w:rsidP="004777F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II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Wee</w:t>
      </w:r>
      <w:r w:rsidR="002E5009">
        <w:rPr>
          <w:rFonts w:ascii="Times New Roman" w:hAnsi="Times New Roman" w:cs="Times New Roman"/>
        </w:rPr>
        <w:t>bl</w:t>
      </w:r>
      <w:r w:rsidR="00BD51F3">
        <w:rPr>
          <w:rFonts w:ascii="Times New Roman" w:hAnsi="Times New Roman" w:cs="Times New Roman"/>
        </w:rPr>
        <w:t>y Assignments for February 26-March 2</w:t>
      </w:r>
      <w:r w:rsidRPr="004777FC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February 26</w:t>
            </w:r>
          </w:p>
        </w:tc>
        <w:tc>
          <w:tcPr>
            <w:tcW w:w="6745" w:type="dxa"/>
          </w:tcPr>
          <w:p w:rsidR="00A229FB" w:rsidRDefault="0055786D" w:rsidP="00B63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8: Text Analysis Workshop: Author’s Style and Voice.</w:t>
            </w:r>
          </w:p>
          <w:p w:rsidR="0055786D" w:rsidRDefault="0055786D" w:rsidP="00B63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pages 850-855 and take double-column notes.</w:t>
            </w:r>
          </w:p>
          <w:p w:rsidR="003E5CCF" w:rsidRDefault="003E5CCF" w:rsidP="00B63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Close Read questions on pages 851, 853, 854, and 855.</w:t>
            </w:r>
          </w:p>
          <w:p w:rsidR="0055786D" w:rsidRPr="004777FC" w:rsidRDefault="0055786D" w:rsidP="00B63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Assess: Describe the style in the excerpt from </w:t>
            </w:r>
            <w:r w:rsidRPr="0055786D">
              <w:rPr>
                <w:rFonts w:ascii="Times New Roman" w:hAnsi="Times New Roman" w:cs="Times New Roman"/>
                <w:i/>
              </w:rPr>
              <w:t>Emma</w:t>
            </w:r>
            <w:r>
              <w:rPr>
                <w:rFonts w:ascii="Times New Roman" w:hAnsi="Times New Roman" w:cs="Times New Roman"/>
              </w:rPr>
              <w:t>, identifying the tone, diction, and imagery of the writing.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February 27</w:t>
            </w:r>
          </w:p>
        </w:tc>
        <w:tc>
          <w:tcPr>
            <w:tcW w:w="6745" w:type="dxa"/>
          </w:tcPr>
          <w:p w:rsidR="006506BF" w:rsidRDefault="006506BF" w:rsidP="00A22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CEA">
              <w:rPr>
                <w:rFonts w:ascii="Times New Roman" w:hAnsi="Times New Roman" w:cs="Times New Roman"/>
              </w:rPr>
              <w:t xml:space="preserve">Turn </w:t>
            </w:r>
            <w:proofErr w:type="spellStart"/>
            <w:r w:rsidR="006E4CEA">
              <w:rPr>
                <w:rFonts w:ascii="Times New Roman" w:hAnsi="Times New Roman" w:cs="Times New Roman"/>
              </w:rPr>
              <w:t>to p</w:t>
            </w:r>
            <w:proofErr w:type="spellEnd"/>
            <w:r w:rsidR="006E4CEA">
              <w:rPr>
                <w:rFonts w:ascii="Times New Roman" w:hAnsi="Times New Roman" w:cs="Times New Roman"/>
              </w:rPr>
              <w:t>. 856. Categorize the things that terrify people. What distinguishes the fear of snakes from the fear of being buried alive, for example? What categories do you come up with?</w:t>
            </w:r>
          </w:p>
          <w:p w:rsidR="006E4CEA" w:rsidRDefault="006E4CEA" w:rsidP="00A22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Text Analysis: Poe’s Style on p. 857. Take notes.</w:t>
            </w:r>
          </w:p>
          <w:p w:rsidR="006E4CEA" w:rsidRPr="004777FC" w:rsidRDefault="006E4CEA" w:rsidP="00A22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“The Pit and the Pendulum” by Edgar Allan Poe pp. 858-873. Keep a journal as you read, noting your questions, feelings, and responses to the character and events in the story.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February 28</w:t>
            </w:r>
          </w:p>
        </w:tc>
        <w:tc>
          <w:tcPr>
            <w:tcW w:w="6745" w:type="dxa"/>
          </w:tcPr>
          <w:p w:rsidR="00022C00" w:rsidRDefault="006E4CEA" w:rsidP="00A229F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reading “The Pit and the Pendulum” and journaling.</w:t>
            </w:r>
          </w:p>
          <w:p w:rsidR="006E4CEA" w:rsidRPr="00022C00" w:rsidRDefault="00417152" w:rsidP="00A229F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Turn </w:t>
            </w:r>
            <w:proofErr w:type="spellStart"/>
            <w:r>
              <w:rPr>
                <w:rFonts w:ascii="Times New Roman" w:hAnsi="Times New Roman" w:cs="Times New Roman"/>
              </w:rPr>
              <w:t xml:space="preserve">to 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proofErr w:type="spellEnd"/>
            <w:r w:rsidR="006E4CEA">
              <w:rPr>
                <w:rFonts w:ascii="Times New Roman" w:hAnsi="Times New Roman" w:cs="Times New Roman"/>
              </w:rPr>
              <w:t xml:space="preserve"> 859. What details create the frightening mood of this illustration? Answer in complete sentences.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March 1</w:t>
            </w:r>
          </w:p>
        </w:tc>
        <w:tc>
          <w:tcPr>
            <w:tcW w:w="6745" w:type="dxa"/>
          </w:tcPr>
          <w:p w:rsidR="00AC5A89" w:rsidRDefault="00DC2C80" w:rsidP="002D2727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Reread lines 31-50 on page 860. Answer the following: 1. The narrator compares fainting, dreaming, and death. What do these three experiences have in common? 2. In lines 45-50, the narrator suggests that he “who has never swooned” is somehow lacking I imagination or creativity—that fainting is a kind of window into the subconscious that only some people are able to experience. Do you agree with this interpretation? Why or why not?</w:t>
            </w:r>
          </w:p>
          <w:p w:rsidR="00DC2C80" w:rsidRDefault="00A770A5" w:rsidP="002D2727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 read lines 80-92 on p.861. In these lines, what inspires the most fear in the narrator before he opens his eyes? How does he react when his fears are confirmed?</w:t>
            </w:r>
          </w:p>
          <w:p w:rsidR="00A770A5" w:rsidRDefault="00A770A5" w:rsidP="002D2727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Reread lines 100-110 p.862. What unusual words and phrases express the narrator’s dread of the dungeon?</w:t>
            </w:r>
          </w:p>
          <w:p w:rsidR="00A770A5" w:rsidRDefault="00A770A5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lines 139-148, the narrator seems more clear minded than in earlier passages. </w:t>
            </w:r>
            <w:proofErr w:type="gramStart"/>
            <w:r>
              <w:rPr>
                <w:rFonts w:ascii="Arial Narrow" w:hAnsi="Arial Narrow"/>
              </w:rPr>
              <w:t>What  aspects</w:t>
            </w:r>
            <w:proofErr w:type="gramEnd"/>
            <w:r>
              <w:rPr>
                <w:rFonts w:ascii="Arial Narrow" w:hAnsi="Arial Narrow"/>
              </w:rPr>
              <w:t xml:space="preserve"> of  Poe’s style help you understand this change in the narrator?</w:t>
            </w:r>
          </w:p>
          <w:p w:rsidR="0049701D" w:rsidRDefault="0049701D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Reread lines 157-172 p. 864. Note Poe’s sensory images—words and phrases that appeal to the senses. Which details communicate the foulness of the pit?</w:t>
            </w:r>
          </w:p>
          <w:p w:rsidR="0049701D" w:rsidRDefault="0049701D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Lines 183-189: Paraphrase this brief paragraph. Think about the narrator’s opinion of himself. Do you agree or disagree with his view?</w:t>
            </w:r>
          </w:p>
          <w:p w:rsidR="0049701D" w:rsidRDefault="0049701D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Paraphrase lines 227-248 p.866. What situation does the narrator find himself in?</w:t>
            </w:r>
          </w:p>
          <w:p w:rsidR="0049701D" w:rsidRDefault="0049701D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lines 254-275, Poe includes various italicized words. What effect do they have on you as a reader?</w:t>
            </w:r>
          </w:p>
          <w:p w:rsidR="0049701D" w:rsidRPr="002D2727" w:rsidRDefault="0049701D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Turn </w:t>
            </w:r>
            <w:proofErr w:type="spellStart"/>
            <w:r>
              <w:rPr>
                <w:rFonts w:ascii="Arial Narrow" w:hAnsi="Arial Narrow"/>
              </w:rPr>
              <w:t>to p</w:t>
            </w:r>
            <w:proofErr w:type="spellEnd"/>
            <w:r>
              <w:rPr>
                <w:rFonts w:ascii="Arial Narrow" w:hAnsi="Arial Narrow"/>
              </w:rPr>
              <w:t>. 869. How effectively does this image convey the terror of the narrator’s situation?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March 2</w:t>
            </w:r>
          </w:p>
        </w:tc>
        <w:tc>
          <w:tcPr>
            <w:tcW w:w="6745" w:type="dxa"/>
          </w:tcPr>
          <w:p w:rsidR="004777FC" w:rsidRDefault="0049701D" w:rsidP="004E6DA0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to p.874 and read “The Lake” by Edgar Allan Poe.</w:t>
            </w:r>
          </w:p>
          <w:p w:rsidR="0049701D" w:rsidRDefault="0049701D" w:rsidP="004E6DA0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After Reading questions 1-9 on p.875.</w:t>
            </w:r>
          </w:p>
          <w:p w:rsidR="0049701D" w:rsidRPr="00022C00" w:rsidRDefault="0049701D" w:rsidP="004E6DA0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Extended Constructed Response: Write Across Texts: p.877. (According to one critic, Poe’s work is concerned with “death-in-life” and “life-in-death.” How do “The Pit and the Pendulum” and “The Lake” deal with these themes? Using examples from the texts, write a three-to five-paragraph response.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Pr="00F77783" w:rsidRDefault="00F77783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lastRenderedPageBreak/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9D3"/>
    <w:multiLevelType w:val="hybridMultilevel"/>
    <w:tmpl w:val="0528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E4A6E"/>
    <w:multiLevelType w:val="hybridMultilevel"/>
    <w:tmpl w:val="4D8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A1527"/>
    <w:rsid w:val="000C3FF8"/>
    <w:rsid w:val="000D6E46"/>
    <w:rsid w:val="00136195"/>
    <w:rsid w:val="00186809"/>
    <w:rsid w:val="0026393A"/>
    <w:rsid w:val="002D2727"/>
    <w:rsid w:val="002E5009"/>
    <w:rsid w:val="002F5F12"/>
    <w:rsid w:val="003E5CCF"/>
    <w:rsid w:val="00417152"/>
    <w:rsid w:val="004777FC"/>
    <w:rsid w:val="0049701D"/>
    <w:rsid w:val="004C7E38"/>
    <w:rsid w:val="004E6DA0"/>
    <w:rsid w:val="00526C02"/>
    <w:rsid w:val="0055786D"/>
    <w:rsid w:val="005A7FB1"/>
    <w:rsid w:val="006506BF"/>
    <w:rsid w:val="006E4CEA"/>
    <w:rsid w:val="007B5DA2"/>
    <w:rsid w:val="00904149"/>
    <w:rsid w:val="009174E3"/>
    <w:rsid w:val="00A229FB"/>
    <w:rsid w:val="00A63B46"/>
    <w:rsid w:val="00A770A5"/>
    <w:rsid w:val="00AC5A89"/>
    <w:rsid w:val="00B63AF7"/>
    <w:rsid w:val="00BD51F3"/>
    <w:rsid w:val="00C44C59"/>
    <w:rsid w:val="00D15485"/>
    <w:rsid w:val="00DA67A9"/>
    <w:rsid w:val="00DC2C80"/>
    <w:rsid w:val="00DF0134"/>
    <w:rsid w:val="00E20787"/>
    <w:rsid w:val="00EC1395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DB3A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7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2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Willis, Tammie</cp:lastModifiedBy>
  <cp:revision>2</cp:revision>
  <dcterms:created xsi:type="dcterms:W3CDTF">2018-02-21T22:31:00Z</dcterms:created>
  <dcterms:modified xsi:type="dcterms:W3CDTF">2018-02-21T22:31:00Z</dcterms:modified>
</cp:coreProperties>
</file>